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E1E" w:rsidRDefault="00963E1E" w:rsidP="00963E1E">
      <w:pPr>
        <w:pStyle w:val="4"/>
        <w:rPr>
          <w:lang w:val="ru-RU"/>
        </w:rPr>
      </w:pPr>
      <w:r>
        <w:rPr>
          <w:lang w:val="ru-RU"/>
        </w:rPr>
        <w:t>Лекция 7.</w:t>
      </w:r>
    </w:p>
    <w:p w:rsidR="00963E1E" w:rsidRDefault="00963E1E" w:rsidP="00963E1E">
      <w:r>
        <w:t>Ядерный магнитный резонанс. ЯМР на молекулярных и атомных пучках. ЯМР в конденсированных средах. Спиновые детекторы. Применение ЯМР.</w:t>
      </w:r>
    </w:p>
    <w:p w:rsidR="002F15CC" w:rsidRDefault="002F15CC"/>
    <w:p w:rsidR="00963E1E" w:rsidRDefault="00963E1E">
      <w:r w:rsidRPr="00963E1E">
        <w:rPr>
          <w:b/>
        </w:rPr>
        <w:t>Конспект</w:t>
      </w:r>
      <w:r>
        <w:rPr>
          <w:b/>
        </w:rPr>
        <w:t>.</w:t>
      </w:r>
    </w:p>
    <w:p w:rsidR="00963E1E" w:rsidRDefault="00D70E11">
      <w:pPr>
        <w:rPr>
          <w:i/>
        </w:rPr>
      </w:pPr>
      <w:r>
        <w:rPr>
          <w:i/>
        </w:rPr>
        <w:t>Ядерный магнитный резонанс на пучках.</w:t>
      </w:r>
    </w:p>
    <w:p w:rsidR="00EF754A" w:rsidRDefault="004C6347">
      <w:r>
        <w:rPr>
          <w:noProof/>
        </w:rPr>
        <w:drawing>
          <wp:inline distT="0" distB="0" distL="0" distR="0">
            <wp:extent cx="3343275" cy="2905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08A" w:rsidRDefault="00C2408A">
      <w:r>
        <w:t xml:space="preserve">На магнитный диполь, помещенный в неоднородное магнитное поле, действует сила пропорциональная магнитному моменту и градиенту поля. Под действием этой силы частица будет отклоняться. По величине отклонения можно определить величину магнитно момента. Но точность такого измерения очень низкая. </w:t>
      </w:r>
    </w:p>
    <w:p w:rsidR="00401F47" w:rsidRDefault="00C2408A">
      <w:r>
        <w:t xml:space="preserve">Для повышения точности делают следующее. </w:t>
      </w:r>
      <w:r w:rsidR="00D72CDC">
        <w:t xml:space="preserve">Пучок магнитных частиц проходит магниты </w:t>
      </w:r>
      <w:r w:rsidR="00D72CDC">
        <w:rPr>
          <w:i/>
        </w:rPr>
        <w:t xml:space="preserve">М1 </w:t>
      </w:r>
      <w:r w:rsidR="00D72CDC">
        <w:t xml:space="preserve">и </w:t>
      </w:r>
      <w:r w:rsidR="00D72CDC">
        <w:rPr>
          <w:i/>
        </w:rPr>
        <w:t>М2</w:t>
      </w:r>
      <w:r w:rsidR="00D72CDC">
        <w:t xml:space="preserve">, которые создают одинаковые поля, но с противоположным направлением градиента. В первом магните частицы отклоняются в одну сторону, а во втором магните отклоняются в противоположном направлении и попадают на детектор </w:t>
      </w:r>
      <w:r w:rsidR="00D72CDC">
        <w:rPr>
          <w:i/>
          <w:lang w:val="en-US"/>
        </w:rPr>
        <w:t>D</w:t>
      </w:r>
      <w:r w:rsidR="00D72CDC">
        <w:t xml:space="preserve">. </w:t>
      </w:r>
      <w:r w:rsidR="00550F05">
        <w:t xml:space="preserve">Между магнитами </w:t>
      </w:r>
      <w:r w:rsidR="00550F05">
        <w:rPr>
          <w:i/>
        </w:rPr>
        <w:t xml:space="preserve">М1 </w:t>
      </w:r>
      <w:r w:rsidR="00550F05">
        <w:t xml:space="preserve">и </w:t>
      </w:r>
      <w:r w:rsidR="00550F05">
        <w:rPr>
          <w:i/>
        </w:rPr>
        <w:t>М2</w:t>
      </w:r>
      <w:r w:rsidR="00550F05">
        <w:t xml:space="preserve"> помещается магнит, создающий очень однородное поле </w:t>
      </w:r>
      <w:r w:rsidR="00550F05">
        <w:rPr>
          <w:i/>
        </w:rPr>
        <w:t>В</w:t>
      </w:r>
      <w:r w:rsidR="00550F05">
        <w:rPr>
          <w:vertAlign w:val="subscript"/>
        </w:rPr>
        <w:t>0</w:t>
      </w:r>
      <w:r w:rsidR="00550F05">
        <w:t xml:space="preserve">. Кроме того в нем установлена петля, создающая переменное поле </w:t>
      </w:r>
      <w:r w:rsidR="00550F05">
        <w:rPr>
          <w:i/>
        </w:rPr>
        <w:t>В</w:t>
      </w:r>
      <w:r w:rsidR="00550F05">
        <w:rPr>
          <w:vertAlign w:val="subscript"/>
        </w:rPr>
        <w:t>1</w:t>
      </w:r>
      <w:r w:rsidR="00550F05">
        <w:t>(</w:t>
      </w:r>
      <w:r w:rsidR="00550F05">
        <w:rPr>
          <w:i/>
          <w:lang w:val="en-US"/>
        </w:rPr>
        <w:t>t</w:t>
      </w:r>
      <w:r w:rsidR="00550F05" w:rsidRPr="00550F05">
        <w:t>)</w:t>
      </w:r>
      <w:r w:rsidR="00550F05">
        <w:t xml:space="preserve">, перпендикулярное полю </w:t>
      </w:r>
      <w:r w:rsidR="00550F05">
        <w:rPr>
          <w:i/>
        </w:rPr>
        <w:t>В</w:t>
      </w:r>
      <w:r w:rsidR="00550F05">
        <w:rPr>
          <w:vertAlign w:val="subscript"/>
        </w:rPr>
        <w:t>0</w:t>
      </w:r>
      <w:r w:rsidR="00550F05">
        <w:t>. В результате воздействия этих полей происходит переориентация направления магнитного момента вследствие нутации. Параметры устройства подбирают такими, что бы за время пролета частицы ориентация поля изменилась на 180</w:t>
      </w:r>
      <w:r w:rsidR="00550F05">
        <w:rPr>
          <w:vertAlign w:val="superscript"/>
        </w:rPr>
        <w:t>о</w:t>
      </w:r>
      <w:r w:rsidR="00550F05">
        <w:t xml:space="preserve">. Тогда частицы </w:t>
      </w:r>
      <w:r w:rsidR="00401F47">
        <w:t>во втором магните будут отклоняться в прежнем направлении и в детектор не попадут. Интенсивность процесса переориентации зависит от расстройки, и изменение тока в цепи детектора носит резонансный характер.</w:t>
      </w:r>
    </w:p>
    <w:p w:rsidR="00586E7E" w:rsidRPr="00586E7E" w:rsidRDefault="00586E7E">
      <w:pPr>
        <w:rPr>
          <w:i/>
        </w:rPr>
      </w:pPr>
      <w:r w:rsidRPr="00586E7E">
        <w:rPr>
          <w:i/>
        </w:rPr>
        <w:t>ЯМР в конденсированных средах.</w:t>
      </w:r>
    </w:p>
    <w:p w:rsidR="00C2408A" w:rsidRDefault="00586E7E">
      <w:r>
        <w:lastRenderedPageBreak/>
        <w:t>Для наблюдения ЯМР необходимо: источник постоянного поля, источник переменного поля, устройство, преобразующее энергию квантовых переходов в радиочастотный сигнал, усилитель и регистратор этого сигнала.</w:t>
      </w:r>
      <w:r w:rsidR="00401F47">
        <w:t xml:space="preserve"> </w:t>
      </w:r>
    </w:p>
    <w:p w:rsidR="00586E7E" w:rsidRDefault="00586E7E">
      <w:r>
        <w:t>В качестве источника постоянного магнитного поля используются постоянные магниты, соленоиды, катушки Гельмгольца, магнитное поле Земли.</w:t>
      </w:r>
    </w:p>
    <w:p w:rsidR="004D33F3" w:rsidRDefault="004D33F3">
      <w:r>
        <w:t>Радиочастотное поле создается катушкой индуктивности, через которую пропускается переменный ток. Эта катушка с исследуемым образцом помещается в постоянное магнитное поле таким образом, чтобы ее ось была перпендикулярна направлению постоянного поля.</w:t>
      </w:r>
    </w:p>
    <w:p w:rsidR="004D33F3" w:rsidRDefault="004D33F3">
      <w:r>
        <w:t>Главной частью прибора является спиновый детектор</w:t>
      </w:r>
      <w:r w:rsidR="00A45999">
        <w:t>, в котором происходит преобразование отклика резонирующей системы в радиочастотный сигнал</w:t>
      </w:r>
      <w:r>
        <w:t>.</w:t>
      </w:r>
      <w:r w:rsidR="00A45999">
        <w:t xml:space="preserve"> </w:t>
      </w:r>
      <w:r w:rsidR="006F47CA">
        <w:t>Общая схема установки для регистрации ЯМР показана на рисунке.</w:t>
      </w:r>
    </w:p>
    <w:p w:rsidR="006F47CA" w:rsidRDefault="0044352E">
      <w:r>
        <w:object w:dxaOrig="6594" w:dyaOrig="2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117.75pt" o:ole="">
            <v:imagedata r:id="rId7" o:title=""/>
          </v:shape>
          <o:OLEObject Type="Embed" ProgID="Visio.Drawing.11" ShapeID="_x0000_i1025" DrawAspect="Content" ObjectID="_1322248026" r:id="rId8"/>
        </w:object>
      </w:r>
    </w:p>
    <w:p w:rsidR="00033ECD" w:rsidRDefault="009A7E40">
      <w:r>
        <w:rPr>
          <w:i/>
        </w:rPr>
        <w:t>Спиновые детекторы.</w:t>
      </w:r>
    </w:p>
    <w:p w:rsidR="009A7E40" w:rsidRDefault="009A7E40">
      <w:r>
        <w:t xml:space="preserve">Спиновый детектор – это катушка индуктивности, изменение параметров которой регистрируется прибором. </w:t>
      </w:r>
    </w:p>
    <w:p w:rsidR="009A7E40" w:rsidRDefault="009A7E40">
      <w:r>
        <w:t xml:space="preserve">Имеется катушка индуктивности с индуктивностью </w:t>
      </w:r>
      <w:r>
        <w:rPr>
          <w:i/>
          <w:lang w:val="en-US"/>
        </w:rPr>
        <w:t>L</w:t>
      </w:r>
      <w:r w:rsidRPr="009A7E40">
        <w:rPr>
          <w:vertAlign w:val="subscript"/>
        </w:rPr>
        <w:t>0</w:t>
      </w:r>
      <w:r w:rsidRPr="009A7E40">
        <w:t>,</w:t>
      </w:r>
      <w:r>
        <w:t xml:space="preserve"> сопротивлением</w:t>
      </w:r>
      <w:r w:rsidRPr="009A7E40">
        <w:t xml:space="preserve"> </w:t>
      </w:r>
      <w:r>
        <w:rPr>
          <w:i/>
          <w:lang w:val="en-US"/>
        </w:rPr>
        <w:t>R</w:t>
      </w:r>
      <w:r w:rsidRPr="009A7E40">
        <w:rPr>
          <w:vertAlign w:val="subscript"/>
        </w:rPr>
        <w:t>0</w:t>
      </w:r>
      <w:r w:rsidRPr="009A7E40">
        <w:t>,</w:t>
      </w:r>
      <w:r>
        <w:t xml:space="preserve"> находящаяся в постоянном внешнем поле</w:t>
      </w:r>
      <w:r w:rsidRPr="009A7E40">
        <w:rPr>
          <w:vertAlign w:val="subscript"/>
        </w:rPr>
        <w:t xml:space="preserve"> </w:t>
      </w:r>
      <w:r>
        <w:rPr>
          <w:i/>
          <w:lang w:val="en-US"/>
        </w:rPr>
        <w:t>B</w:t>
      </w:r>
      <w:r w:rsidRPr="009A7E40">
        <w:rPr>
          <w:vertAlign w:val="subscript"/>
        </w:rPr>
        <w:t>0</w:t>
      </w:r>
      <w:r w:rsidRPr="009A7E40">
        <w:t>.</w:t>
      </w:r>
      <w:r>
        <w:t xml:space="preserve"> </w:t>
      </w:r>
      <w:r w:rsidR="00FA1058">
        <w:t xml:space="preserve">Через нее течет переменный ток, создающий вдоль оси поле </w:t>
      </w:r>
      <w:r w:rsidR="00FA1058">
        <w:rPr>
          <w:i/>
        </w:rPr>
        <w:t>В</w:t>
      </w:r>
      <w:r w:rsidR="00FA1058">
        <w:rPr>
          <w:vertAlign w:val="subscript"/>
        </w:rPr>
        <w:t>1</w:t>
      </w:r>
      <w:r w:rsidR="00FA1058">
        <w:t xml:space="preserve">, перпендикулярное внешнему постоянному полю. При частоте резонанса </w:t>
      </w:r>
      <w:r w:rsidR="00FA1058" w:rsidRPr="00BE7DD6">
        <w:rPr>
          <w:position w:val="-12"/>
        </w:rPr>
        <w:object w:dxaOrig="859" w:dyaOrig="360">
          <v:shape id="_x0000_i1026" type="#_x0000_t75" style="width:42.75pt;height:18pt" o:ole="">
            <v:imagedata r:id="rId9" o:title=""/>
          </v:shape>
          <o:OLEObject Type="Embed" ProgID="Equation.3" ShapeID="_x0000_i1026" DrawAspect="Content" ObjectID="_1322248027" r:id="rId10"/>
        </w:object>
      </w:r>
      <w:r w:rsidR="00FA1058">
        <w:t xml:space="preserve"> ядерная намагниченность существенно влияет на параметры катушки. Ее индуктивность будет:</w:t>
      </w:r>
    </w:p>
    <w:p w:rsidR="00FA1058" w:rsidRDefault="00FA1058">
      <w:r w:rsidRPr="00BE7DD6">
        <w:rPr>
          <w:position w:val="-12"/>
        </w:rPr>
        <w:object w:dxaOrig="2860" w:dyaOrig="360">
          <v:shape id="_x0000_i1027" type="#_x0000_t75" style="width:143.25pt;height:18pt" o:ole="">
            <v:imagedata r:id="rId11" o:title=""/>
          </v:shape>
          <o:OLEObject Type="Embed" ProgID="Equation.3" ShapeID="_x0000_i1027" DrawAspect="Content" ObjectID="_1322248028" r:id="rId12"/>
        </w:object>
      </w:r>
      <w:r w:rsidR="00DC66DD">
        <w:t xml:space="preserve">    (1)</w:t>
      </w:r>
    </w:p>
    <w:p w:rsidR="00DC66DD" w:rsidRDefault="00DC66DD">
      <w:r>
        <w:t xml:space="preserve">Полное сопротивление </w:t>
      </w:r>
      <w:r w:rsidRPr="00466B54">
        <w:rPr>
          <w:position w:val="-12"/>
        </w:rPr>
        <w:object w:dxaOrig="1300" w:dyaOrig="360">
          <v:shape id="_x0000_i1028" type="#_x0000_t75" style="width:65.25pt;height:18pt" o:ole="">
            <v:imagedata r:id="rId13" o:title=""/>
          </v:shape>
          <o:OLEObject Type="Embed" ProgID="Equation.3" ShapeID="_x0000_i1028" DrawAspect="Content" ObjectID="_1322248029" r:id="rId14"/>
        </w:object>
      </w:r>
      <w:r>
        <w:t xml:space="preserve"> будет:</w:t>
      </w:r>
    </w:p>
    <w:p w:rsidR="00DC66DD" w:rsidRDefault="00AC2EFD">
      <w:r w:rsidRPr="00466B54">
        <w:rPr>
          <w:position w:val="-12"/>
        </w:rPr>
        <w:object w:dxaOrig="3460" w:dyaOrig="360">
          <v:shape id="_x0000_i1029" type="#_x0000_t75" style="width:173.25pt;height:18pt" o:ole="">
            <v:imagedata r:id="rId15" o:title=""/>
          </v:shape>
          <o:OLEObject Type="Embed" ProgID="Equation.3" ShapeID="_x0000_i1029" DrawAspect="Content" ObjectID="_1322248030" r:id="rId16"/>
        </w:object>
      </w:r>
      <w:r w:rsidR="00DC66DD">
        <w:t xml:space="preserve">      (2)</w:t>
      </w:r>
    </w:p>
    <w:p w:rsidR="00AC2EFD" w:rsidRDefault="00AC2EFD">
      <w:r>
        <w:t>Активное и реактивное сопротивление катушки</w:t>
      </w:r>
    </w:p>
    <w:p w:rsidR="00AC2EFD" w:rsidRDefault="00AC2EFD">
      <w:r w:rsidRPr="00466B54">
        <w:rPr>
          <w:position w:val="-30"/>
        </w:rPr>
        <w:object w:dxaOrig="1900" w:dyaOrig="720">
          <v:shape id="_x0000_i1030" type="#_x0000_t75" style="width:95.25pt;height:36pt" o:ole="">
            <v:imagedata r:id="rId17" o:title=""/>
          </v:shape>
          <o:OLEObject Type="Embed" ProgID="Equation.3" ShapeID="_x0000_i1030" DrawAspect="Content" ObjectID="_1322248031" r:id="rId18"/>
        </w:object>
      </w:r>
      <w:r>
        <w:t xml:space="preserve">    (3)</w:t>
      </w:r>
    </w:p>
    <w:p w:rsidR="00DC66DD" w:rsidRDefault="00DC66DD">
      <w:r>
        <w:t>Для повышения избирательности и уменьшения шумов катушка индуктивности включается в колебательный контур</w:t>
      </w:r>
      <w:r w:rsidR="009D3CD3">
        <w:t>, настроенный на частоту резонанса</w:t>
      </w:r>
      <w:r>
        <w:t xml:space="preserve">. </w:t>
      </w:r>
    </w:p>
    <w:p w:rsidR="00133A46" w:rsidRDefault="00133A46">
      <w:r>
        <w:object w:dxaOrig="3334" w:dyaOrig="2879">
          <v:shape id="_x0000_i1031" type="#_x0000_t75" style="width:166.5pt;height:2in" o:ole="">
            <v:imagedata r:id="rId19" o:title=""/>
          </v:shape>
          <o:OLEObject Type="Embed" ProgID="Visio.Drawing.11" ShapeID="_x0000_i1031" DrawAspect="Content" ObjectID="_1322248032" r:id="rId20"/>
        </w:object>
      </w:r>
    </w:p>
    <w:p w:rsidR="009D3CD3" w:rsidRDefault="009D3CD3">
      <w:r>
        <w:t>Сопротивление контура на резонансной частоте равно:</w:t>
      </w:r>
    </w:p>
    <w:p w:rsidR="009D3CD3" w:rsidRDefault="009D3CD3">
      <w:r w:rsidRPr="00466B54">
        <w:rPr>
          <w:position w:val="-24"/>
        </w:rPr>
        <w:object w:dxaOrig="1080" w:dyaOrig="660">
          <v:shape id="_x0000_i1032" type="#_x0000_t75" style="width:54pt;height:33pt" o:ole="">
            <v:imagedata r:id="rId21" o:title=""/>
          </v:shape>
          <o:OLEObject Type="Embed" ProgID="Equation.3" ShapeID="_x0000_i1032" DrawAspect="Content" ObjectID="_1322248033" r:id="rId22"/>
        </w:object>
      </w:r>
      <w:r w:rsidR="00AC2EFD">
        <w:t xml:space="preserve">     (4)</w:t>
      </w:r>
    </w:p>
    <w:p w:rsidR="00AC2EFD" w:rsidRDefault="00AC2EFD">
      <w:r>
        <w:t xml:space="preserve">Подставляя </w:t>
      </w:r>
      <w:r>
        <w:rPr>
          <w:i/>
          <w:lang w:val="en-US"/>
        </w:rPr>
        <w:t>L</w:t>
      </w:r>
      <w:r w:rsidRPr="00AC2EFD">
        <w:rPr>
          <w:i/>
        </w:rPr>
        <w:t xml:space="preserve"> = </w:t>
      </w:r>
      <w:r>
        <w:rPr>
          <w:i/>
          <w:lang w:val="en-US"/>
        </w:rPr>
        <w:t>Z</w:t>
      </w:r>
      <w:r>
        <w:rPr>
          <w:i/>
          <w:vertAlign w:val="subscript"/>
          <w:lang w:val="en-US"/>
        </w:rPr>
        <w:t>L</w:t>
      </w:r>
      <w:r>
        <w:t xml:space="preserve"> и </w:t>
      </w:r>
      <w:r>
        <w:rPr>
          <w:i/>
          <w:lang w:val="en-US"/>
        </w:rPr>
        <w:t>R</w:t>
      </w:r>
      <w:r w:rsidRPr="00AC2EFD">
        <w:rPr>
          <w:i/>
        </w:rPr>
        <w:t xml:space="preserve"> = </w:t>
      </w:r>
      <w:r>
        <w:rPr>
          <w:i/>
          <w:lang w:val="en-US"/>
        </w:rPr>
        <w:t>Z</w:t>
      </w:r>
      <w:r>
        <w:rPr>
          <w:i/>
          <w:vertAlign w:val="subscript"/>
          <w:lang w:val="en-US"/>
        </w:rPr>
        <w:t>R</w:t>
      </w:r>
      <w:r>
        <w:t xml:space="preserve">, </w:t>
      </w:r>
      <w:r w:rsidR="00FB56C7">
        <w:t xml:space="preserve">учитывая, что собственная добротность контура </w:t>
      </w:r>
      <w:r w:rsidR="00FB56C7" w:rsidRPr="00466B54">
        <w:rPr>
          <w:position w:val="-12"/>
        </w:rPr>
        <w:object w:dxaOrig="1300" w:dyaOrig="360">
          <v:shape id="_x0000_i1033" type="#_x0000_t75" style="width:65.25pt;height:18pt" o:ole="">
            <v:imagedata r:id="rId23" o:title=""/>
          </v:shape>
          <o:OLEObject Type="Embed" ProgID="Equation.3" ShapeID="_x0000_i1033" DrawAspect="Content" ObjectID="_1322248034" r:id="rId24"/>
        </w:object>
      </w:r>
      <w:r w:rsidR="00FB56C7">
        <w:t>, получим:</w:t>
      </w:r>
    </w:p>
    <w:p w:rsidR="00FB56C7" w:rsidRDefault="00FB56C7">
      <w:r w:rsidRPr="00466B54">
        <w:rPr>
          <w:position w:val="-30"/>
        </w:rPr>
        <w:object w:dxaOrig="2079" w:dyaOrig="740">
          <v:shape id="_x0000_i1034" type="#_x0000_t75" style="width:104.25pt;height:36.75pt" o:ole="">
            <v:imagedata r:id="rId25" o:title=""/>
          </v:shape>
          <o:OLEObject Type="Embed" ProgID="Equation.3" ShapeID="_x0000_i1034" DrawAspect="Content" ObjectID="_1322248035" r:id="rId26"/>
        </w:object>
      </w:r>
      <w:r>
        <w:t xml:space="preserve">   (5)</w:t>
      </w:r>
    </w:p>
    <w:p w:rsidR="00FB56C7" w:rsidRDefault="00802701">
      <w:r>
        <w:t xml:space="preserve">Учитывая малость </w:t>
      </w:r>
      <w:r w:rsidRPr="00466B54">
        <w:rPr>
          <w:position w:val="-10"/>
        </w:rPr>
        <w:object w:dxaOrig="300" w:dyaOrig="320">
          <v:shape id="_x0000_i1035" type="#_x0000_t75" style="width:15pt;height:15.75pt" o:ole="">
            <v:imagedata r:id="rId27" o:title=""/>
          </v:shape>
          <o:OLEObject Type="Embed" ProgID="Equation.3" ShapeID="_x0000_i1035" DrawAspect="Content" ObjectID="_1322248036" r:id="rId28"/>
        </w:object>
      </w:r>
      <w:r>
        <w:t xml:space="preserve">  и </w:t>
      </w:r>
      <w:r w:rsidRPr="00466B54">
        <w:rPr>
          <w:position w:val="-10"/>
        </w:rPr>
        <w:object w:dxaOrig="320" w:dyaOrig="320">
          <v:shape id="_x0000_i1036" type="#_x0000_t75" style="width:15.75pt;height:15.75pt" o:ole="">
            <v:imagedata r:id="rId29" o:title=""/>
          </v:shape>
          <o:OLEObject Type="Embed" ProgID="Equation.3" ShapeID="_x0000_i1036" DrawAspect="Content" ObjectID="_1322248037" r:id="rId30"/>
        </w:object>
      </w:r>
      <w:r>
        <w:t>, можно получить из (5)</w:t>
      </w:r>
    </w:p>
    <w:p w:rsidR="00802701" w:rsidRDefault="00802701">
      <w:r w:rsidRPr="00466B54">
        <w:rPr>
          <w:position w:val="-46"/>
        </w:rPr>
        <w:object w:dxaOrig="1939" w:dyaOrig="1040">
          <v:shape id="_x0000_i1037" type="#_x0000_t75" style="width:96.75pt;height:51.75pt" o:ole="">
            <v:imagedata r:id="rId31" o:title=""/>
          </v:shape>
          <o:OLEObject Type="Embed" ProgID="Equation.3" ShapeID="_x0000_i1037" DrawAspect="Content" ObjectID="_1322248038" r:id="rId32"/>
        </w:object>
      </w:r>
      <w:r>
        <w:t xml:space="preserve">   (6)</w:t>
      </w:r>
    </w:p>
    <w:p w:rsidR="00802701" w:rsidRDefault="00B8412F">
      <w:r>
        <w:t>Таким образом, регистрируя изменение сопротивления контура и сдвиг фазы, можно наблюдать соответственно сигнал поглощения или дисперсии.</w:t>
      </w:r>
    </w:p>
    <w:p w:rsidR="00B8412F" w:rsidRDefault="0058470D">
      <w:r>
        <w:t>Наиболее простая схема измерения представлена на рис.</w:t>
      </w:r>
    </w:p>
    <w:p w:rsidR="0058470D" w:rsidRDefault="00B27977">
      <w:r>
        <w:object w:dxaOrig="8693" w:dyaOrig="3296">
          <v:shape id="_x0000_i1038" type="#_x0000_t75" style="width:435pt;height:165pt" o:ole="">
            <v:imagedata r:id="rId33" o:title=""/>
          </v:shape>
          <o:OLEObject Type="Embed" ProgID="Visio.Drawing.11" ShapeID="_x0000_i1038" DrawAspect="Content" ObjectID="_1322248039" r:id="rId34"/>
        </w:object>
      </w:r>
      <w:r>
        <w:t>Существенным недостатком резонансного колебательного контура является малость сигнала ЯМР по сравнению с амплитудой высокочастотного напряжения контура. Наиболее широкое применение он получил в импульсных методиках.</w:t>
      </w:r>
    </w:p>
    <w:p w:rsidR="00B27977" w:rsidRDefault="00B27977">
      <w:r>
        <w:t xml:space="preserve">Отмеченный недостаток устраняется при включении </w:t>
      </w:r>
      <w:r w:rsidR="00AF78DC">
        <w:t>колебательного контура в радиочастотный мост. Широкое распространение получили двойные Т-образные мосты с одним колебательным контуром:</w:t>
      </w:r>
    </w:p>
    <w:p w:rsidR="00AF78DC" w:rsidRDefault="0033696C">
      <w:r>
        <w:object w:dxaOrig="5536" w:dyaOrig="2307">
          <v:shape id="_x0000_i1039" type="#_x0000_t75" style="width:276.75pt;height:115.5pt" o:ole="">
            <v:imagedata r:id="rId35" o:title=""/>
          </v:shape>
          <o:OLEObject Type="Embed" ProgID="Visio.Drawing.11" ShapeID="_x0000_i1039" DrawAspect="Content" ObjectID="_1322248040" r:id="rId36"/>
        </w:object>
      </w:r>
    </w:p>
    <w:p w:rsidR="00100ABA" w:rsidRDefault="00100ABA">
      <w:r>
        <w:t xml:space="preserve">Одним из спиновых детекторов является генератор слабых колебаний (автодин). При появлении сигнала ЯМР изменяются сопротивление и резонансная частота контура. В генераторе это вызывает изменение амплитуды и частоты генерируемого напряжения. </w:t>
      </w:r>
    </w:p>
    <w:p w:rsidR="00D63ACC" w:rsidRDefault="00100ABA">
      <w:r>
        <w:object w:dxaOrig="3170" w:dyaOrig="2348">
          <v:shape id="_x0000_i1040" type="#_x0000_t75" style="width:158.25pt;height:117.75pt" o:ole="">
            <v:imagedata r:id="rId37" o:title=""/>
          </v:shape>
          <o:OLEObject Type="Embed" ProgID="Visio.Drawing.11" ShapeID="_x0000_i1040" DrawAspect="Content" ObjectID="_1322248041" r:id="rId38"/>
        </w:object>
      </w:r>
    </w:p>
    <w:p w:rsidR="001A092E" w:rsidRDefault="001A092E"/>
    <w:p w:rsidR="001A092E" w:rsidRDefault="001A092E">
      <w:r>
        <w:rPr>
          <w:i/>
        </w:rPr>
        <w:t>Применение ЯМР</w:t>
      </w:r>
    </w:p>
    <w:p w:rsidR="006F5982" w:rsidRDefault="00CC3D30">
      <w:r>
        <w:t>1. Частота ЯМР пропорциональна величине магнитного поля, а коэффициент пропорциональности – это гиромагнитное отношение.</w:t>
      </w:r>
      <w:r w:rsidR="00994868">
        <w:t xml:space="preserve"> </w:t>
      </w:r>
      <w:r w:rsidR="006F5982" w:rsidRPr="00CB3360">
        <w:rPr>
          <w:position w:val="-10"/>
        </w:rPr>
        <w:object w:dxaOrig="800" w:dyaOrig="380">
          <v:shape id="_x0000_i1041" type="#_x0000_t75" style="width:39.75pt;height:18.75pt" o:ole="">
            <v:imagedata r:id="rId39" o:title=""/>
          </v:shape>
          <o:OLEObject Type="Embed" ProgID="Equation.3" ShapeID="_x0000_i1041" DrawAspect="Content" ObjectID="_1322248042" r:id="rId40"/>
        </w:object>
      </w:r>
      <w:r w:rsidR="00994868">
        <w:t xml:space="preserve">,    </w:t>
      </w:r>
      <w:r w:rsidR="00994868" w:rsidRPr="00CB3360">
        <w:rPr>
          <w:position w:val="-12"/>
        </w:rPr>
        <w:object w:dxaOrig="1240" w:dyaOrig="360">
          <v:shape id="_x0000_i1042" type="#_x0000_t75" style="width:62.25pt;height:18pt" o:ole="">
            <v:imagedata r:id="rId41" o:title=""/>
          </v:shape>
          <o:OLEObject Type="Embed" ProgID="Equation.3" ShapeID="_x0000_i1042" DrawAspect="Content" ObjectID="_1322248043" r:id="rId42"/>
        </w:object>
      </w:r>
      <w:r w:rsidR="00994868">
        <w:t>. Поэтому ЯМР может использоваться для измерения гиромагнитных отношений</w:t>
      </w:r>
      <w:r w:rsidR="005C5F64">
        <w:t xml:space="preserve"> и магнитных моментов, или для изотопного анализа. Интенсивность сигнала пропорциональна числу исследуемых ядер, поэтому ЯМР позволяет проводить и количественный анализ.</w:t>
      </w:r>
    </w:p>
    <w:p w:rsidR="005C5F64" w:rsidRDefault="005C5F64">
      <w:r>
        <w:t xml:space="preserve">Кроме этих очевидных </w:t>
      </w:r>
      <w:r w:rsidR="008937A0">
        <w:t>применений</w:t>
      </w:r>
      <w:r>
        <w:t xml:space="preserve"> </w:t>
      </w:r>
      <w:r w:rsidR="008937A0">
        <w:t>возможно</w:t>
      </w:r>
      <w:r>
        <w:t xml:space="preserve"> расширить область применения ЯМР, используя некоторые особенности сигнала.</w:t>
      </w:r>
    </w:p>
    <w:p w:rsidR="006F3F5F" w:rsidRPr="00061037" w:rsidRDefault="006F3F5F">
      <w:r>
        <w:t xml:space="preserve"> В лекции 6 было показано, что при установлении равновесия компоненты ядерной намагниченности релаксируют к равновесным значениям с характерными временами (6.30), (6.31). </w:t>
      </w:r>
      <w:r w:rsidR="00061037">
        <w:t xml:space="preserve">Измеряя времена </w:t>
      </w:r>
      <w:r w:rsidR="00061037">
        <w:rPr>
          <w:i/>
        </w:rPr>
        <w:t>Т</w:t>
      </w:r>
      <w:r w:rsidR="00061037">
        <w:rPr>
          <w:vertAlign w:val="subscript"/>
        </w:rPr>
        <w:t>1</w:t>
      </w:r>
      <w:r w:rsidR="00061037">
        <w:t xml:space="preserve"> и </w:t>
      </w:r>
      <w:r w:rsidR="00061037">
        <w:rPr>
          <w:i/>
        </w:rPr>
        <w:t>Т</w:t>
      </w:r>
      <w:r w:rsidR="00061037">
        <w:rPr>
          <w:vertAlign w:val="subscript"/>
        </w:rPr>
        <w:t>2</w:t>
      </w:r>
      <w:r w:rsidR="00061037">
        <w:t>, можно изучать процессы релаксации и физико-химические факторы, определяющие эти процессы.</w:t>
      </w:r>
      <w:r w:rsidR="00C21CB0">
        <w:t xml:space="preserve"> </w:t>
      </w:r>
    </w:p>
    <w:sectPr w:rsidR="006F3F5F" w:rsidRPr="00061037">
      <w:headerReference w:type="even" r:id="rId43"/>
      <w:head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D62" w:rsidRDefault="00205D62">
      <w:pPr>
        <w:spacing w:line="240" w:lineRule="auto"/>
      </w:pPr>
      <w:r>
        <w:separator/>
      </w:r>
    </w:p>
  </w:endnote>
  <w:endnote w:type="continuationSeparator" w:id="0">
    <w:p w:rsidR="00205D62" w:rsidRDefault="00205D6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D62" w:rsidRDefault="00205D62">
      <w:pPr>
        <w:spacing w:line="240" w:lineRule="auto"/>
      </w:pPr>
      <w:r>
        <w:separator/>
      </w:r>
    </w:p>
  </w:footnote>
  <w:footnote w:type="continuationSeparator" w:id="0">
    <w:p w:rsidR="00205D62" w:rsidRDefault="00205D6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B1F" w:rsidRDefault="00EF6B1F" w:rsidP="00EF6B1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6B1F" w:rsidRDefault="00EF6B1F" w:rsidP="00EF6B1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B1F" w:rsidRDefault="00EF6B1F" w:rsidP="00EF6B1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6347">
      <w:rPr>
        <w:rStyle w:val="a5"/>
        <w:noProof/>
      </w:rPr>
      <w:t>1</w:t>
    </w:r>
    <w:r>
      <w:rPr>
        <w:rStyle w:val="a5"/>
      </w:rPr>
      <w:fldChar w:fldCharType="end"/>
    </w:r>
  </w:p>
  <w:p w:rsidR="00EF6B1F" w:rsidRDefault="00EF6B1F" w:rsidP="00EF6B1F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1497A"/>
    <w:rsid w:val="00033ECD"/>
    <w:rsid w:val="00046396"/>
    <w:rsid w:val="00061037"/>
    <w:rsid w:val="00100ABA"/>
    <w:rsid w:val="00101F2E"/>
    <w:rsid w:val="00133A46"/>
    <w:rsid w:val="001542E3"/>
    <w:rsid w:val="001A092E"/>
    <w:rsid w:val="001C68CF"/>
    <w:rsid w:val="00205D62"/>
    <w:rsid w:val="002F15CC"/>
    <w:rsid w:val="0033696C"/>
    <w:rsid w:val="00366F69"/>
    <w:rsid w:val="00401F47"/>
    <w:rsid w:val="0044352E"/>
    <w:rsid w:val="00476566"/>
    <w:rsid w:val="004C6347"/>
    <w:rsid w:val="004D33F3"/>
    <w:rsid w:val="00512F95"/>
    <w:rsid w:val="00550F05"/>
    <w:rsid w:val="0058470D"/>
    <w:rsid w:val="00586E7E"/>
    <w:rsid w:val="00594C68"/>
    <w:rsid w:val="005C5F64"/>
    <w:rsid w:val="005E68C9"/>
    <w:rsid w:val="00687478"/>
    <w:rsid w:val="006F3F5F"/>
    <w:rsid w:val="006F47CA"/>
    <w:rsid w:val="006F5982"/>
    <w:rsid w:val="00732046"/>
    <w:rsid w:val="00802701"/>
    <w:rsid w:val="00850A0B"/>
    <w:rsid w:val="008746B1"/>
    <w:rsid w:val="00876D32"/>
    <w:rsid w:val="008937A0"/>
    <w:rsid w:val="008F50EB"/>
    <w:rsid w:val="00920AB0"/>
    <w:rsid w:val="009455F9"/>
    <w:rsid w:val="00951E47"/>
    <w:rsid w:val="00963E1E"/>
    <w:rsid w:val="009945E0"/>
    <w:rsid w:val="00994868"/>
    <w:rsid w:val="009A7E40"/>
    <w:rsid w:val="009D3CD3"/>
    <w:rsid w:val="00A1497A"/>
    <w:rsid w:val="00A25354"/>
    <w:rsid w:val="00A45999"/>
    <w:rsid w:val="00A4730D"/>
    <w:rsid w:val="00AC2EFD"/>
    <w:rsid w:val="00AF551B"/>
    <w:rsid w:val="00AF78DC"/>
    <w:rsid w:val="00B27977"/>
    <w:rsid w:val="00B8412F"/>
    <w:rsid w:val="00C21CB0"/>
    <w:rsid w:val="00C2408A"/>
    <w:rsid w:val="00CC3D30"/>
    <w:rsid w:val="00CC5438"/>
    <w:rsid w:val="00D63ACC"/>
    <w:rsid w:val="00D70E11"/>
    <w:rsid w:val="00D72CDC"/>
    <w:rsid w:val="00DB1789"/>
    <w:rsid w:val="00DC66DD"/>
    <w:rsid w:val="00EF6B1F"/>
    <w:rsid w:val="00EF754A"/>
    <w:rsid w:val="00FA1058"/>
    <w:rsid w:val="00FA24BA"/>
    <w:rsid w:val="00FB5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1E"/>
    <w:pPr>
      <w:spacing w:line="360" w:lineRule="auto"/>
      <w:ind w:firstLine="709"/>
      <w:jc w:val="both"/>
    </w:pPr>
    <w:rPr>
      <w:sz w:val="24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ind w:firstLine="72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ind w:firstLine="72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  <w:style w:type="paragraph" w:styleId="a3">
    <w:name w:val="Balloon Text"/>
    <w:basedOn w:val="a"/>
    <w:semiHidden/>
    <w:rsid w:val="00EF6B1F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EF6B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6B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e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e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emf"/><Relationship Id="rId31" Type="http://schemas.openxmlformats.org/officeDocument/2006/relationships/image" Target="media/image14.wmf"/><Relationship Id="rId44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emf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Лекция 7</vt:lpstr>
    </vt:vector>
  </TitlesOfParts>
  <Company/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7</dc:title>
  <dc:creator>Dell</dc:creator>
  <cp:lastModifiedBy>Лео</cp:lastModifiedBy>
  <cp:revision>2</cp:revision>
  <cp:lastPrinted>2008-09-29T17:15:00Z</cp:lastPrinted>
  <dcterms:created xsi:type="dcterms:W3CDTF">2009-12-13T19:21:00Z</dcterms:created>
  <dcterms:modified xsi:type="dcterms:W3CDTF">2009-12-13T19:21:00Z</dcterms:modified>
</cp:coreProperties>
</file>